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72EF36E6" w:rsidR="00D6147A" w:rsidRDefault="004B2B53" w:rsidP="004B2B53">
      <w:hyperlink r:id="rId6" w:history="1">
        <w:r w:rsidRPr="00841AAB">
          <w:rPr>
            <w:rStyle w:val="Collegamentoipertestuale"/>
          </w:rPr>
          <w:t>https://finanza.repubblica.it/News/2025/02/14/mocio_assiom_forex_nbfi_in_grandissima_crescita_sfuggono_a_radar_regolatori-105/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2B53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0701A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4B53"/>
    <w:rsid w:val="00DA6359"/>
    <w:rsid w:val="00DB2300"/>
    <w:rsid w:val="00DB55E2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repubblica.it/News/2025/02/14/mocio_assiom_forex_nbfi_in_grandissima_crescita_sfuggono_a_radar_regolatori-10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2025-02-18T09:06:00Z</dcterms:created>
  <dcterms:modified xsi:type="dcterms:W3CDTF">2025-02-18T11:36:00Z</dcterms:modified>
</cp:coreProperties>
</file>